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5E" w:rsidRPr="00B766DE" w:rsidRDefault="00937B5E" w:rsidP="00937B5E">
      <w:pPr>
        <w:pStyle w:val="Ttulo2"/>
        <w:spacing w:before="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937B5E" w:rsidRPr="000A2B1E" w:rsidRDefault="00937B5E" w:rsidP="00937B5E">
      <w:pPr>
        <w:pStyle w:val="Ttulo3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>Partner Name</w:t>
      </w:r>
    </w:p>
    <w:tbl>
      <w:tblPr>
        <w:tblStyle w:val="Tablaconcuadrcula"/>
        <w:tblW w:w="5000" w:type="pct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6"/>
        <w:gridCol w:w="1043"/>
        <w:gridCol w:w="909"/>
        <w:gridCol w:w="2186"/>
        <w:gridCol w:w="3034"/>
      </w:tblGrid>
      <w:tr w:rsidR="00937B5E" w:rsidRPr="00DB26BC" w:rsidTr="00AE5F28">
        <w:trPr>
          <w:trHeight w:val="299"/>
        </w:trPr>
        <w:tc>
          <w:tcPr>
            <w:tcW w:w="938" w:type="pct"/>
            <w:tcBorders>
              <w:bottom w:val="single" w:sz="18" w:space="0" w:color="FFFFFF" w:themeColor="background1"/>
              <w:righ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b/>
                <w:sz w:val="22"/>
                <w:szCs w:val="22"/>
              </w:rPr>
            </w:pPr>
            <w:r w:rsidRPr="00DB26BC">
              <w:rPr>
                <w:b/>
                <w:sz w:val="22"/>
                <w:szCs w:val="22"/>
              </w:rPr>
              <w:t>Partner full name</w:t>
            </w:r>
          </w:p>
        </w:tc>
        <w:tc>
          <w:tcPr>
            <w:tcW w:w="2568" w:type="pct"/>
            <w:gridSpan w:val="3"/>
            <w:tcBorders>
              <w:left w:val="single" w:sz="4" w:space="0" w:color="A6A6A6" w:themeColor="background1" w:themeShade="A6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Universidad </w:t>
            </w:r>
            <w:proofErr w:type="spellStart"/>
            <w:r>
              <w:rPr>
                <w:sz w:val="22"/>
                <w:szCs w:val="22"/>
              </w:rPr>
              <w:t>Politécnica</w:t>
            </w:r>
            <w:proofErr w:type="spellEnd"/>
            <w:r>
              <w:rPr>
                <w:sz w:val="22"/>
                <w:szCs w:val="22"/>
              </w:rPr>
              <w:t xml:space="preserve"> de Madrid, Information Processing and Telecommunications </w:t>
            </w:r>
            <w:proofErr w:type="spellStart"/>
            <w:r>
              <w:rPr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1493" w:type="pct"/>
            <w:vMerge w:val="restart"/>
            <w:tcBorders>
              <w:left w:val="single" w:sz="18" w:space="0" w:color="FFFFFF" w:themeColor="background1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val="es-ES" w:eastAsia="es-ES"/>
              </w:rPr>
              <w:drawing>
                <wp:inline distT="0" distB="0" distL="0" distR="0" wp14:anchorId="348F27B8" wp14:editId="72F38074">
                  <wp:extent cx="1851922" cy="867036"/>
                  <wp:effectExtent l="0" t="0" r="254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ptc_up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785" cy="87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B5E" w:rsidRPr="00DB26BC" w:rsidTr="00AE5F28">
        <w:trPr>
          <w:trHeight w:val="35"/>
        </w:trPr>
        <w:tc>
          <w:tcPr>
            <w:tcW w:w="938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b/>
                <w:sz w:val="22"/>
                <w:szCs w:val="22"/>
              </w:rPr>
            </w:pPr>
            <w:r w:rsidRPr="00DB26BC">
              <w:rPr>
                <w:b/>
                <w:sz w:val="22"/>
                <w:szCs w:val="22"/>
              </w:rPr>
              <w:t>Partner short name</w:t>
            </w:r>
          </w:p>
        </w:tc>
        <w:tc>
          <w:tcPr>
            <w:tcW w:w="546" w:type="pct"/>
            <w:tcBorders>
              <w:top w:val="single" w:sz="18" w:space="0" w:color="FFFFFF" w:themeColor="background1"/>
              <w:left w:val="single" w:sz="4" w:space="0" w:color="A6A6A6" w:themeColor="background1" w:themeShade="A6"/>
              <w:bottom w:val="single" w:sz="18" w:space="0" w:color="FFFFFF" w:themeColor="background1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UPM-IPTC</w:t>
            </w:r>
          </w:p>
        </w:tc>
        <w:tc>
          <w:tcPr>
            <w:tcW w:w="604" w:type="pct"/>
            <w:tcBorders>
              <w:top w:val="single" w:sz="18" w:space="0" w:color="FFFFFF" w:themeColor="background1"/>
              <w:left w:val="single" w:sz="4" w:space="0" w:color="A6A6A6" w:themeColor="background1" w:themeShade="A6"/>
              <w:bottom w:val="single" w:sz="18" w:space="0" w:color="FFFFFF" w:themeColor="background1"/>
              <w:righ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b/>
                <w:sz w:val="22"/>
                <w:szCs w:val="22"/>
              </w:rPr>
            </w:pPr>
            <w:r w:rsidRPr="00DB26BC">
              <w:rPr>
                <w:b/>
                <w:sz w:val="22"/>
                <w:szCs w:val="22"/>
              </w:rPr>
              <w:t>Country</w:t>
            </w:r>
          </w:p>
        </w:tc>
        <w:tc>
          <w:tcPr>
            <w:tcW w:w="1418" w:type="pct"/>
            <w:tcBorders>
              <w:top w:val="single" w:sz="18" w:space="0" w:color="FFFFFF" w:themeColor="background1"/>
              <w:left w:val="single" w:sz="4" w:space="0" w:color="A6A6A6" w:themeColor="background1" w:themeShade="A6"/>
              <w:bottom w:val="single" w:sz="18" w:space="0" w:color="FFFFFF" w:themeColor="background1"/>
              <w:right w:val="single" w:sz="18" w:space="0" w:color="FFFFFF" w:themeColor="background1"/>
            </w:tcBorders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Spain</w:t>
            </w:r>
          </w:p>
        </w:tc>
        <w:tc>
          <w:tcPr>
            <w:tcW w:w="1493" w:type="pct"/>
            <w:vMerge/>
            <w:tcBorders>
              <w:left w:val="single" w:sz="18" w:space="0" w:color="FFFFFF" w:themeColor="background1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sz w:val="22"/>
                <w:szCs w:val="22"/>
              </w:rPr>
            </w:pPr>
          </w:p>
        </w:tc>
      </w:tr>
      <w:tr w:rsidR="00937B5E" w:rsidRPr="00DB26BC" w:rsidTr="00AE5F28">
        <w:trPr>
          <w:trHeight w:val="454"/>
        </w:trPr>
        <w:tc>
          <w:tcPr>
            <w:tcW w:w="938" w:type="pct"/>
            <w:tcBorders>
              <w:top w:val="single" w:sz="18" w:space="0" w:color="FFFFFF" w:themeColor="background1"/>
              <w:righ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b/>
                <w:sz w:val="22"/>
                <w:szCs w:val="22"/>
              </w:rPr>
            </w:pPr>
            <w:r w:rsidRPr="00DB26BC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546" w:type="pct"/>
            <w:tcBorders>
              <w:top w:val="single" w:sz="18" w:space="0" w:color="FFFFFF" w:themeColor="background1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604" w:type="pct"/>
            <w:tcBorders>
              <w:top w:val="single" w:sz="18" w:space="0" w:color="FFFFFF" w:themeColor="background1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b/>
                <w:sz w:val="22"/>
                <w:szCs w:val="22"/>
              </w:rPr>
            </w:pPr>
            <w:r w:rsidRPr="00DB26BC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1418" w:type="pct"/>
            <w:tcBorders>
              <w:top w:val="single" w:sz="18" w:space="0" w:color="FFFFFF" w:themeColor="background1"/>
              <w:left w:val="single" w:sz="4" w:space="0" w:color="A6A6A6" w:themeColor="background1" w:themeShade="A6"/>
              <w:right w:val="single" w:sz="18" w:space="0" w:color="FFFFFF" w:themeColor="background1"/>
            </w:tcBorders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http://www.iptc.upm.es</w:t>
            </w:r>
          </w:p>
        </w:tc>
        <w:tc>
          <w:tcPr>
            <w:tcW w:w="1493" w:type="pct"/>
            <w:vMerge/>
            <w:tcBorders>
              <w:left w:val="single" w:sz="18" w:space="0" w:color="FFFFFF" w:themeColor="background1"/>
            </w:tcBorders>
            <w:shd w:val="clear" w:color="auto" w:fill="D5DCE4" w:themeFill="text2" w:themeFillTint="33"/>
            <w:tcMar>
              <w:left w:w="57" w:type="dxa"/>
              <w:right w:w="57" w:type="dxa"/>
            </w:tcMar>
            <w:vAlign w:val="center"/>
          </w:tcPr>
          <w:p w:rsidR="00937B5E" w:rsidRPr="00DB26BC" w:rsidRDefault="00937B5E" w:rsidP="00AE5F28">
            <w:pPr>
              <w:rPr>
                <w:sz w:val="22"/>
                <w:szCs w:val="22"/>
              </w:rPr>
            </w:pPr>
          </w:p>
        </w:tc>
      </w:tr>
    </w:tbl>
    <w:p w:rsidR="00937B5E" w:rsidRPr="00B766DE" w:rsidRDefault="00937B5E" w:rsidP="00937B5E">
      <w:pPr>
        <w:jc w:val="both"/>
        <w:rPr>
          <w:b/>
          <w:sz w:val="22"/>
          <w:szCs w:val="22"/>
        </w:rPr>
      </w:pPr>
    </w:p>
    <w:p w:rsidR="00937B5E" w:rsidRPr="00B766DE" w:rsidRDefault="00937B5E" w:rsidP="00937B5E">
      <w:pPr>
        <w:shd w:val="clear" w:color="auto" w:fill="D9E2F3" w:themeFill="accent1" w:themeFillTint="33"/>
        <w:tabs>
          <w:tab w:val="left" w:pos="1929"/>
        </w:tabs>
        <w:jc w:val="both"/>
        <w:rPr>
          <w:sz w:val="22"/>
          <w:szCs w:val="22"/>
        </w:rPr>
      </w:pPr>
      <w:r w:rsidRPr="00B766DE">
        <w:rPr>
          <w:b/>
          <w:sz w:val="22"/>
          <w:szCs w:val="22"/>
        </w:rPr>
        <w:t>Short profile</w:t>
      </w:r>
      <w:r w:rsidRPr="00B766DE">
        <w:rPr>
          <w:b/>
          <w:sz w:val="22"/>
          <w:szCs w:val="22"/>
        </w:rPr>
        <w:tab/>
      </w:r>
    </w:p>
    <w:p w:rsidR="00937B5E" w:rsidRDefault="00937B5E" w:rsidP="00937B5E">
      <w:pPr>
        <w:pStyle w:val="Textoindependiente"/>
        <w:spacing w:before="0" w:after="0"/>
        <w:rPr>
          <w:rFonts w:cs="Times New Roman"/>
          <w:lang w:val="en-GB"/>
        </w:rPr>
      </w:pPr>
      <w:r w:rsidRPr="00075649">
        <w:rPr>
          <w:rFonts w:cs="Times New Roman"/>
          <w:lang w:val="en-GB"/>
        </w:rPr>
        <w:t>UPM is the largest Spanish technological university and also one of the largest in Europe, with more t</w:t>
      </w:r>
      <w:r>
        <w:rPr>
          <w:rFonts w:cs="Times New Roman"/>
          <w:lang w:val="en-GB"/>
        </w:rPr>
        <w:t>han 36</w:t>
      </w:r>
      <w:r w:rsidRPr="00075649">
        <w:rPr>
          <w:rFonts w:cs="Times New Roman"/>
          <w:lang w:val="en-GB"/>
        </w:rPr>
        <w:t>,000 students (2,</w:t>
      </w:r>
      <w:r>
        <w:rPr>
          <w:rFonts w:cs="Times New Roman"/>
          <w:lang w:val="en-GB"/>
        </w:rPr>
        <w:t>108</w:t>
      </w:r>
      <w:r w:rsidRPr="00075649">
        <w:rPr>
          <w:rFonts w:cs="Times New Roman"/>
          <w:lang w:val="en-GB"/>
        </w:rPr>
        <w:t xml:space="preserve"> in Ph.D. Programs). With two recognized Campus of Interna</w:t>
      </w:r>
      <w:r>
        <w:rPr>
          <w:rFonts w:cs="Times New Roman"/>
          <w:lang w:val="en-GB"/>
        </w:rPr>
        <w:t>tional Excellence, more than 2,9</w:t>
      </w:r>
      <w:r w:rsidRPr="00075649">
        <w:rPr>
          <w:rFonts w:cs="Times New Roman"/>
          <w:lang w:val="en-GB"/>
        </w:rPr>
        <w:t>00 researchers carry out their activity</w:t>
      </w:r>
      <w:r>
        <w:rPr>
          <w:rFonts w:cs="Times New Roman"/>
          <w:lang w:val="en-GB"/>
        </w:rPr>
        <w:t xml:space="preserve"> at UPM, grouped in 205</w:t>
      </w:r>
      <w:r w:rsidRPr="00075649">
        <w:rPr>
          <w:rFonts w:cs="Times New Roman"/>
          <w:lang w:val="en-GB"/>
        </w:rPr>
        <w:t xml:space="preserve"> Research Groups, 55 Laboratories, 19 Research </w:t>
      </w:r>
      <w:proofErr w:type="spellStart"/>
      <w:r w:rsidRPr="00075649">
        <w:rPr>
          <w:rFonts w:cs="Times New Roman"/>
          <w:lang w:val="en-GB"/>
        </w:rPr>
        <w:t>Centers</w:t>
      </w:r>
      <w:proofErr w:type="spellEnd"/>
      <w:r w:rsidRPr="00075649">
        <w:rPr>
          <w:rFonts w:cs="Times New Roman"/>
          <w:lang w:val="en-GB"/>
        </w:rPr>
        <w:t xml:space="preserve"> and Institutes, all of them committed to transforming the scientific knowledge into applicable advanced to the production sector. UPM heads the Spanish Universities’ participation in the </w:t>
      </w:r>
      <w:r>
        <w:rPr>
          <w:rFonts w:cs="Times New Roman"/>
          <w:lang w:val="en-GB"/>
        </w:rPr>
        <w:t>Horizon 2020 Programme</w:t>
      </w:r>
      <w:r w:rsidRPr="00075649">
        <w:rPr>
          <w:rFonts w:cs="Times New Roman"/>
          <w:lang w:val="en-GB"/>
        </w:rPr>
        <w:t xml:space="preserve"> with </w:t>
      </w:r>
      <w:r>
        <w:rPr>
          <w:rFonts w:cs="Times New Roman"/>
          <w:lang w:val="en-GB"/>
        </w:rPr>
        <w:t>77</w:t>
      </w:r>
      <w:r w:rsidRPr="00075649">
        <w:rPr>
          <w:rFonts w:cs="Times New Roman"/>
          <w:lang w:val="en-GB"/>
        </w:rPr>
        <w:t xml:space="preserve"> projects </w:t>
      </w:r>
      <w:r>
        <w:rPr>
          <w:rFonts w:cs="Times New Roman"/>
          <w:lang w:val="en-GB"/>
        </w:rPr>
        <w:t>(2014-2016)</w:t>
      </w:r>
      <w:r w:rsidRPr="00075649">
        <w:rPr>
          <w:rFonts w:cs="Times New Roman"/>
          <w:lang w:val="en-GB"/>
        </w:rPr>
        <w:t>. Moreover, every year, UPM applies for around 40 patents and receives a similar number of concessions demonstrating a high commitment to innovation. Regarding business creation, UPM has generated about 140 start-ups in the last ten years. With a close support of the business sector, the University annually signs around 600 contracts with private companies.</w:t>
      </w:r>
      <w:r>
        <w:rPr>
          <w:rFonts w:cs="Times New Roman"/>
          <w:lang w:val="en-GB"/>
        </w:rPr>
        <w:t xml:space="preserve"> </w:t>
      </w:r>
    </w:p>
    <w:p w:rsidR="00937B5E" w:rsidRDefault="00937B5E" w:rsidP="00937B5E">
      <w:pPr>
        <w:pStyle w:val="Textoindependiente"/>
        <w:spacing w:before="0" w:after="0"/>
        <w:rPr>
          <w:rFonts w:cs="Times New Roman"/>
          <w:lang w:val="en-GB"/>
        </w:rPr>
      </w:pPr>
    </w:p>
    <w:p w:rsidR="00937B5E" w:rsidRDefault="00937B5E" w:rsidP="00937B5E">
      <w:pPr>
        <w:pStyle w:val="Textoindependiente"/>
        <w:spacing w:before="0" w:after="0"/>
        <w:rPr>
          <w:szCs w:val="22"/>
          <w:lang w:val="en-US"/>
        </w:rPr>
      </w:pPr>
      <w:r w:rsidRPr="00AD3523">
        <w:rPr>
          <w:szCs w:val="22"/>
          <w:lang w:val="en-US"/>
        </w:rPr>
        <w:t>The Information Processing and Telecommunications Center</w:t>
      </w:r>
      <w:r>
        <w:rPr>
          <w:szCs w:val="22"/>
          <w:lang w:val="en-US"/>
        </w:rPr>
        <w:t xml:space="preserve"> is one of the Research Centers in UPM. It brings</w:t>
      </w:r>
      <w:r w:rsidRPr="00AD3523">
        <w:rPr>
          <w:szCs w:val="22"/>
          <w:lang w:val="en-US"/>
        </w:rPr>
        <w:t xml:space="preserve"> together the expertise and resources of </w:t>
      </w:r>
      <w:r>
        <w:rPr>
          <w:szCs w:val="22"/>
          <w:lang w:val="en-US"/>
        </w:rPr>
        <w:t>around 1</w:t>
      </w:r>
      <w:r w:rsidR="008C17CA">
        <w:rPr>
          <w:szCs w:val="22"/>
          <w:lang w:val="en-US"/>
        </w:rPr>
        <w:t>6</w:t>
      </w:r>
      <w:r>
        <w:rPr>
          <w:szCs w:val="22"/>
          <w:lang w:val="en-US"/>
        </w:rPr>
        <w:t>0 researchers</w:t>
      </w:r>
      <w:r w:rsidRPr="00AD3523">
        <w:rPr>
          <w:szCs w:val="22"/>
          <w:lang w:val="en-US"/>
        </w:rPr>
        <w:t xml:space="preserve"> working in the fields of Electronics, Communications, Networks, Computing and Softw</w:t>
      </w:r>
      <w:r>
        <w:rPr>
          <w:szCs w:val="22"/>
          <w:lang w:val="en-US"/>
        </w:rPr>
        <w:t xml:space="preserve">are. </w:t>
      </w:r>
      <w:r>
        <w:rPr>
          <w:rFonts w:cs="Times New Roman"/>
          <w:lang w:val="en-GB"/>
        </w:rPr>
        <w:t>UPM-IPTC</w:t>
      </w:r>
      <w:r w:rsidRPr="00075649">
        <w:rPr>
          <w:rFonts w:cs="Times New Roman"/>
          <w:lang w:val="en-GB"/>
        </w:rPr>
        <w:t xml:space="preserve"> has a sustained record of involvement in numerous competitive projects</w:t>
      </w:r>
      <w:r w:rsidR="00146264">
        <w:rPr>
          <w:rFonts w:cs="Times New Roman"/>
          <w:lang w:val="en-GB"/>
        </w:rPr>
        <w:t xml:space="preserve"> (e.g. </w:t>
      </w:r>
      <w:r w:rsidR="008C17CA">
        <w:rPr>
          <w:rFonts w:cs="Times New Roman"/>
          <w:lang w:val="en-GB"/>
        </w:rPr>
        <w:t>more than</w:t>
      </w:r>
      <w:r w:rsidR="00146264">
        <w:rPr>
          <w:rFonts w:cs="Times New Roman"/>
          <w:lang w:val="en-GB"/>
        </w:rPr>
        <w:t xml:space="preserve"> 100 per year, 201</w:t>
      </w:r>
      <w:r w:rsidR="008C17CA">
        <w:rPr>
          <w:rFonts w:cs="Times New Roman"/>
          <w:lang w:val="en-GB"/>
        </w:rPr>
        <w:t>8</w:t>
      </w:r>
      <w:r w:rsidR="00146264">
        <w:rPr>
          <w:rFonts w:cs="Times New Roman"/>
          <w:lang w:val="en-GB"/>
        </w:rPr>
        <w:t xml:space="preserve"> figures)</w:t>
      </w:r>
      <w:r w:rsidRPr="00075649">
        <w:rPr>
          <w:rFonts w:cs="Times New Roman"/>
          <w:lang w:val="en-GB"/>
        </w:rPr>
        <w:t>, contracted research and an extensive experience of collaboration and technology transfer to companies</w:t>
      </w:r>
      <w:r w:rsidR="00146264">
        <w:rPr>
          <w:rFonts w:cs="Times New Roman"/>
          <w:lang w:val="en-GB"/>
        </w:rPr>
        <w:t xml:space="preserve"> (</w:t>
      </w:r>
      <w:r w:rsidR="008C17CA">
        <w:rPr>
          <w:rFonts w:cs="Times New Roman"/>
          <w:lang w:val="en-GB"/>
        </w:rPr>
        <w:t>more than</w:t>
      </w:r>
      <w:bookmarkStart w:id="0" w:name="_GoBack"/>
      <w:bookmarkEnd w:id="0"/>
      <w:r w:rsidR="00146264">
        <w:rPr>
          <w:rFonts w:cs="Times New Roman"/>
          <w:lang w:val="en-GB"/>
        </w:rPr>
        <w:t xml:space="preserve"> 60 research contracts per year)</w:t>
      </w:r>
      <w:r w:rsidRPr="00075649">
        <w:rPr>
          <w:rFonts w:cs="Times New Roman"/>
          <w:lang w:val="en-GB"/>
        </w:rPr>
        <w:t xml:space="preserve">. With a convinced vocation of cooperation with industry, </w:t>
      </w:r>
      <w:r>
        <w:rPr>
          <w:rFonts w:cs="Times New Roman"/>
          <w:lang w:val="en-GB"/>
        </w:rPr>
        <w:t>UPM-IPTC</w:t>
      </w:r>
      <w:r w:rsidRPr="00075649">
        <w:rPr>
          <w:rFonts w:cs="Times New Roman"/>
          <w:lang w:val="en-GB"/>
        </w:rPr>
        <w:t xml:space="preserve"> focuses on technologies of social and economic interest. </w:t>
      </w:r>
    </w:p>
    <w:p w:rsidR="00937B5E" w:rsidRDefault="00937B5E" w:rsidP="00937B5E">
      <w:pPr>
        <w:pStyle w:val="Textoindependiente"/>
        <w:spacing w:before="0" w:after="0"/>
        <w:rPr>
          <w:szCs w:val="22"/>
          <w:lang w:val="en-US"/>
        </w:rPr>
      </w:pPr>
    </w:p>
    <w:p w:rsidR="00937B5E" w:rsidRPr="00696C1A" w:rsidRDefault="00937B5E" w:rsidP="00937B5E">
      <w:pPr>
        <w:pStyle w:val="Textoindependiente"/>
        <w:spacing w:before="0" w:after="0"/>
        <w:rPr>
          <w:szCs w:val="22"/>
          <w:lang w:val="en-US"/>
        </w:rPr>
      </w:pPr>
      <w:r>
        <w:rPr>
          <w:szCs w:val="22"/>
          <w:lang w:val="en-US"/>
        </w:rPr>
        <w:t>UPM-IPTC</w:t>
      </w:r>
      <w:r w:rsidRPr="004C4109">
        <w:rPr>
          <w:szCs w:val="22"/>
          <w:lang w:val="en-US"/>
        </w:rPr>
        <w:t xml:space="preserve"> </w:t>
      </w:r>
      <w:r>
        <w:rPr>
          <w:szCs w:val="22"/>
          <w:lang w:val="en-US"/>
        </w:rPr>
        <w:t>structures its</w:t>
      </w:r>
      <w:r w:rsidRPr="004C4109">
        <w:rPr>
          <w:szCs w:val="22"/>
          <w:lang w:val="en-US"/>
        </w:rPr>
        <w:t xml:space="preserve"> research resources in the strategic areas of Smart Cities, Future Telecoms</w:t>
      </w:r>
      <w:r>
        <w:rPr>
          <w:szCs w:val="22"/>
          <w:lang w:val="en-US"/>
        </w:rPr>
        <w:t xml:space="preserve">, </w:t>
      </w:r>
      <w:r w:rsidRPr="004C4109">
        <w:rPr>
          <w:szCs w:val="22"/>
          <w:lang w:val="en-US"/>
        </w:rPr>
        <w:t>Connected Industry, Data Engineering and Digital Transformation, Interaction and Interfaces, Health and Wellbeing Support, Mobility and Transport and Remote Sensing, Space and Defense.</w:t>
      </w:r>
      <w:r>
        <w:rPr>
          <w:szCs w:val="22"/>
          <w:lang w:val="en-US"/>
        </w:rPr>
        <w:t xml:space="preserve"> In particular, UPM-IPTC researchers involved in </w:t>
      </w:r>
      <w:r w:rsidRPr="00937B5E">
        <w:rPr>
          <w:szCs w:val="22"/>
          <w:highlight w:val="yellow"/>
          <w:lang w:val="en-US"/>
        </w:rPr>
        <w:t>XX</w:t>
      </w:r>
      <w:r>
        <w:rPr>
          <w:szCs w:val="22"/>
          <w:lang w:val="en-US"/>
        </w:rPr>
        <w:t xml:space="preserve"> have a wide experience in </w:t>
      </w:r>
      <w:r w:rsidRPr="00937B5E">
        <w:rPr>
          <w:szCs w:val="22"/>
          <w:highlight w:val="yellow"/>
          <w:lang w:val="en-US"/>
        </w:rPr>
        <w:t>XX</w:t>
      </w:r>
      <w:r>
        <w:rPr>
          <w:szCs w:val="22"/>
          <w:lang w:val="en-US"/>
        </w:rPr>
        <w:t xml:space="preserve">. The participants also have a consistent background in </w:t>
      </w:r>
      <w:r w:rsidRPr="00937B5E">
        <w:rPr>
          <w:szCs w:val="22"/>
          <w:highlight w:val="yellow"/>
          <w:lang w:val="en-US"/>
        </w:rPr>
        <w:t>XX</w:t>
      </w:r>
      <w:r>
        <w:rPr>
          <w:szCs w:val="22"/>
          <w:lang w:val="en-US"/>
        </w:rPr>
        <w:t>.</w:t>
      </w:r>
    </w:p>
    <w:p w:rsidR="00FC70C3" w:rsidRPr="00937B5E" w:rsidRDefault="00FC70C3">
      <w:pPr>
        <w:rPr>
          <w:lang w:val="en-US"/>
        </w:rPr>
      </w:pPr>
    </w:p>
    <w:sectPr w:rsidR="00FC70C3" w:rsidRPr="00937B5E" w:rsidSect="00F46B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97D63"/>
    <w:multiLevelType w:val="multilevel"/>
    <w:tmpl w:val="107E1CC4"/>
    <w:lvl w:ilvl="0">
      <w:start w:val="4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5E"/>
    <w:rsid w:val="000011A9"/>
    <w:rsid w:val="00146264"/>
    <w:rsid w:val="001F76E5"/>
    <w:rsid w:val="002F56F8"/>
    <w:rsid w:val="004C62CB"/>
    <w:rsid w:val="00576BDA"/>
    <w:rsid w:val="00702406"/>
    <w:rsid w:val="008C17CA"/>
    <w:rsid w:val="00937B5E"/>
    <w:rsid w:val="009A7BB4"/>
    <w:rsid w:val="00AD113B"/>
    <w:rsid w:val="00B536AA"/>
    <w:rsid w:val="00B60A39"/>
    <w:rsid w:val="00C0682C"/>
    <w:rsid w:val="00D05AC7"/>
    <w:rsid w:val="00D14AE0"/>
    <w:rsid w:val="00DE3F88"/>
    <w:rsid w:val="00F46B9A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40F6"/>
  <w15:chartTrackingRefBased/>
  <w15:docId w15:val="{B361FE16-6E95-9F40-B79B-DF47FBD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7B5E"/>
    <w:rPr>
      <w:rFonts w:ascii="Times New Roman" w:eastAsia="Times New Roman" w:hAnsi="Times New Roman" w:cs="Times New Roman"/>
      <w:lang w:val="en-GB" w:eastAsia="en-GB"/>
    </w:rPr>
  </w:style>
  <w:style w:type="paragraph" w:styleId="Ttulo1">
    <w:name w:val="heading 1"/>
    <w:basedOn w:val="Normal"/>
    <w:next w:val="Normal"/>
    <w:link w:val="Ttulo1Car"/>
    <w:qFormat/>
    <w:rsid w:val="00937B5E"/>
    <w:pPr>
      <w:keepNext/>
      <w:numPr>
        <w:numId w:val="1"/>
      </w:numPr>
      <w:spacing w:before="240" w:after="120"/>
      <w:jc w:val="both"/>
      <w:outlineLvl w:val="0"/>
    </w:pPr>
    <w:rPr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7B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37B5E"/>
    <w:pPr>
      <w:keepNext/>
      <w:spacing w:before="120" w:after="120"/>
      <w:jc w:val="both"/>
      <w:outlineLvl w:val="2"/>
    </w:pPr>
    <w:rPr>
      <w:rFonts w:ascii="Times New Roman Bold" w:hAnsi="Times New Roman Bold"/>
      <w:b/>
      <w:i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937B5E"/>
    <w:pPr>
      <w:keepNext/>
      <w:numPr>
        <w:ilvl w:val="3"/>
        <w:numId w:val="1"/>
      </w:numPr>
      <w:spacing w:before="120" w:after="120"/>
      <w:jc w:val="both"/>
      <w:outlineLvl w:val="3"/>
    </w:pPr>
    <w:rPr>
      <w:i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937B5E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937B5E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937B5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937B5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937B5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7B5E"/>
    <w:rPr>
      <w:rFonts w:ascii="Times New Roman" w:eastAsia="Times New Roman" w:hAnsi="Times New Roman" w:cs="Times New Roman"/>
      <w:b/>
      <w:kern w:val="28"/>
      <w:sz w:val="28"/>
      <w:szCs w:val="20"/>
      <w:lang w:val="en-GB" w:eastAsia="en-GB"/>
    </w:rPr>
  </w:style>
  <w:style w:type="character" w:customStyle="1" w:styleId="Ttulo2Car">
    <w:name w:val="Título 2 Car"/>
    <w:basedOn w:val="Fuentedeprrafopredeter"/>
    <w:link w:val="Ttulo2"/>
    <w:uiPriority w:val="9"/>
    <w:rsid w:val="00937B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937B5E"/>
    <w:rPr>
      <w:rFonts w:ascii="Times New Roman Bold" w:eastAsia="Times New Roman" w:hAnsi="Times New Roman Bold" w:cs="Times New Roman"/>
      <w:b/>
      <w:i/>
      <w:sz w:val="22"/>
      <w:szCs w:val="20"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937B5E"/>
    <w:rPr>
      <w:rFonts w:ascii="Times New Roman" w:eastAsia="Times New Roman" w:hAnsi="Times New Roman" w:cs="Times New Roman"/>
      <w:i/>
      <w:sz w:val="22"/>
      <w:szCs w:val="20"/>
      <w:lang w:val="en-GB" w:eastAsia="en-GB"/>
    </w:rPr>
  </w:style>
  <w:style w:type="character" w:customStyle="1" w:styleId="Ttulo5Car">
    <w:name w:val="Título 5 Car"/>
    <w:basedOn w:val="Fuentedeprrafopredeter"/>
    <w:link w:val="Ttulo5"/>
    <w:rsid w:val="00937B5E"/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character" w:customStyle="1" w:styleId="Ttulo6Car">
    <w:name w:val="Título 6 Car"/>
    <w:basedOn w:val="Fuentedeprrafopredeter"/>
    <w:link w:val="Ttulo6"/>
    <w:rsid w:val="00937B5E"/>
    <w:rPr>
      <w:rFonts w:ascii="Times New Roman" w:eastAsia="Times New Roman" w:hAnsi="Times New Roman" w:cs="Times New Roman"/>
      <w:i/>
      <w:sz w:val="22"/>
      <w:szCs w:val="20"/>
      <w:lang w:val="en-GB" w:eastAsia="en-GB"/>
    </w:rPr>
  </w:style>
  <w:style w:type="character" w:customStyle="1" w:styleId="Ttulo7Car">
    <w:name w:val="Título 7 Car"/>
    <w:basedOn w:val="Fuentedeprrafopredeter"/>
    <w:link w:val="Ttulo7"/>
    <w:rsid w:val="00937B5E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Ttulo8Car">
    <w:name w:val="Título 8 Car"/>
    <w:basedOn w:val="Fuentedeprrafopredeter"/>
    <w:link w:val="Ttulo8"/>
    <w:rsid w:val="00937B5E"/>
    <w:rPr>
      <w:rFonts w:ascii="Arial" w:eastAsia="Times New Roman" w:hAnsi="Arial" w:cs="Times New Roman"/>
      <w:i/>
      <w:sz w:val="20"/>
      <w:szCs w:val="20"/>
      <w:lang w:val="en-GB" w:eastAsia="en-GB"/>
    </w:rPr>
  </w:style>
  <w:style w:type="character" w:customStyle="1" w:styleId="Ttulo9Car">
    <w:name w:val="Título 9 Car"/>
    <w:basedOn w:val="Fuentedeprrafopredeter"/>
    <w:link w:val="Ttulo9"/>
    <w:rsid w:val="00937B5E"/>
    <w:rPr>
      <w:rFonts w:ascii="Arial" w:eastAsia="Times New Roman" w:hAnsi="Arial" w:cs="Times New Roman"/>
      <w:i/>
      <w:sz w:val="18"/>
      <w:szCs w:val="20"/>
      <w:lang w:val="en-GB" w:eastAsia="en-GB"/>
    </w:rPr>
  </w:style>
  <w:style w:type="table" w:styleId="Tablaconcuadrcula">
    <w:name w:val="Table Grid"/>
    <w:basedOn w:val="Tablanormal"/>
    <w:uiPriority w:val="59"/>
    <w:rsid w:val="00937B5E"/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937B5E"/>
    <w:pPr>
      <w:spacing w:before="120" w:after="120"/>
      <w:jc w:val="both"/>
    </w:pPr>
    <w:rPr>
      <w:rFonts w:cs="Calibri"/>
      <w:sz w:val="22"/>
      <w:szCs w:val="20"/>
      <w:lang w:val="el-GR" w:eastAsia="el-GR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937B5E"/>
    <w:rPr>
      <w:rFonts w:ascii="Times New Roman" w:eastAsia="Times New Roman" w:hAnsi="Times New Roman" w:cs="Calibri"/>
      <w:sz w:val="22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anamaria.bernardos@upm.es</cp:lastModifiedBy>
  <cp:revision>3</cp:revision>
  <dcterms:created xsi:type="dcterms:W3CDTF">2019-12-17T11:03:00Z</dcterms:created>
  <dcterms:modified xsi:type="dcterms:W3CDTF">2019-12-17T11:05:00Z</dcterms:modified>
</cp:coreProperties>
</file>